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A" w:rsidRDefault="004B444E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微软雅黑" w:cs="微软雅黑" w:hint="eastAsia"/>
          <w:sz w:val="28"/>
          <w:szCs w:val="28"/>
        </w:rPr>
        <w:t>附件1</w:t>
      </w:r>
    </w:p>
    <w:p w:rsidR="008E479A" w:rsidRPr="004B444E" w:rsidRDefault="004B444E">
      <w:pPr>
        <w:snapToGrid w:val="0"/>
        <w:spacing w:line="360" w:lineRule="auto"/>
        <w:jc w:val="center"/>
        <w:rPr>
          <w:rFonts w:ascii="方正小标宋简体" w:eastAsia="方正小标宋简体" w:hAnsi="微软雅黑" w:cs="微软雅黑"/>
          <w:b/>
          <w:sz w:val="28"/>
          <w:szCs w:val="28"/>
        </w:rPr>
      </w:pPr>
      <w:r w:rsidRPr="004B444E">
        <w:rPr>
          <w:rFonts w:ascii="方正小标宋简体" w:eastAsia="方正小标宋简体" w:hAnsi="微软雅黑" w:cs="微软雅黑" w:hint="eastAsia"/>
          <w:b/>
          <w:sz w:val="28"/>
          <w:szCs w:val="28"/>
        </w:rPr>
        <w:t>2019世界青年科学家(温州)峰会</w:t>
      </w:r>
    </w:p>
    <w:p w:rsidR="008E479A" w:rsidRPr="004B444E" w:rsidRDefault="004B444E" w:rsidP="004B444E">
      <w:pPr>
        <w:snapToGrid w:val="0"/>
        <w:spacing w:line="360" w:lineRule="auto"/>
        <w:jc w:val="center"/>
        <w:rPr>
          <w:rFonts w:ascii="方正小标宋简体" w:eastAsia="方正小标宋简体" w:hAnsi="微软雅黑" w:cs="微软雅黑"/>
          <w:b/>
          <w:sz w:val="28"/>
          <w:szCs w:val="28"/>
        </w:rPr>
      </w:pPr>
      <w:r w:rsidRPr="004B444E">
        <w:rPr>
          <w:rFonts w:ascii="方正小标宋简体" w:eastAsia="方正小标宋简体" w:hAnsi="微软雅黑" w:cs="微软雅黑" w:hint="eastAsia"/>
          <w:b/>
          <w:sz w:val="28"/>
          <w:szCs w:val="28"/>
        </w:rPr>
        <w:t>“一带一路”国际化青年人才培养高峰对话会</w:t>
      </w:r>
      <w:r w:rsidRPr="004B444E">
        <w:rPr>
          <w:rFonts w:hint="eastAsia"/>
          <w:b/>
          <w:sz w:val="28"/>
          <w:szCs w:val="28"/>
        </w:rPr>
        <w:t>议程</w:t>
      </w:r>
    </w:p>
    <w:tbl>
      <w:tblPr>
        <w:tblpPr w:leftFromText="180" w:rightFromText="180" w:vertAnchor="page" w:horzAnchor="page" w:tblpX="1175" w:tblpY="4192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702"/>
        <w:gridCol w:w="6635"/>
      </w:tblGrid>
      <w:tr w:rsidR="004B444E" w:rsidTr="004B444E">
        <w:trPr>
          <w:trHeight w:val="441"/>
        </w:trPr>
        <w:tc>
          <w:tcPr>
            <w:tcW w:w="1304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 期</w:t>
            </w: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内  容</w:t>
            </w:r>
          </w:p>
        </w:tc>
      </w:tr>
      <w:tr w:rsidR="004B444E" w:rsidTr="004B444E">
        <w:trPr>
          <w:trHeight w:val="590"/>
        </w:trPr>
        <w:tc>
          <w:tcPr>
            <w:tcW w:w="1304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月25日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（周五）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全天</w:t>
            </w: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全天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 到</w:t>
            </w:r>
          </w:p>
        </w:tc>
      </w:tr>
      <w:tr w:rsidR="004B444E" w:rsidTr="004B444E">
        <w:trPr>
          <w:trHeight w:val="212"/>
        </w:trPr>
        <w:tc>
          <w:tcPr>
            <w:tcW w:w="1304" w:type="dxa"/>
            <w:vMerge w:val="restart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月26日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（周六）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</w:t>
            </w: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09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0-</w:t>
            </w: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1.部分嘉宾参加2019世界青年科学家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(温州)</w:t>
            </w:r>
            <w:r>
              <w:rPr>
                <w:rFonts w:ascii="宋体" w:hAnsi="宋体" w:hint="eastAsia"/>
                <w:kern w:val="0"/>
                <w:szCs w:val="21"/>
              </w:rPr>
              <w:t>峰会开幕式</w:t>
            </w:r>
          </w:p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2.不出席开幕式的嘉宾参观亚龙智能智造体验中心</w:t>
            </w:r>
          </w:p>
        </w:tc>
      </w:tr>
      <w:tr w:rsidR="004B444E" w:rsidTr="004B444E">
        <w:trPr>
          <w:trHeight w:val="90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12:00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午餐、午休</w:t>
            </w:r>
          </w:p>
        </w:tc>
      </w:tr>
      <w:tr w:rsidR="004B444E" w:rsidTr="004B444E">
        <w:trPr>
          <w:trHeight w:val="90"/>
        </w:trPr>
        <w:tc>
          <w:tcPr>
            <w:tcW w:w="1304" w:type="dxa"/>
            <w:vMerge w:val="restart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月26日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（周六）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</w:t>
            </w:r>
          </w:p>
        </w:tc>
        <w:tc>
          <w:tcPr>
            <w:tcW w:w="1702" w:type="dxa"/>
            <w:vMerge w:val="restart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14:00-17：30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cs="微软雅黑" w:hint="eastAsia"/>
                <w:b/>
                <w:szCs w:val="21"/>
              </w:rPr>
              <w:t>“一带一路”国际化青年人才培养高峰对话会</w:t>
            </w:r>
          </w:p>
        </w:tc>
      </w:tr>
      <w:tr w:rsidR="004B444E" w:rsidTr="004B444E">
        <w:trPr>
          <w:trHeight w:val="90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1.嘉宾致辞</w:t>
            </w:r>
          </w:p>
        </w:tc>
      </w:tr>
      <w:tr w:rsidR="004B444E" w:rsidTr="004B444E">
        <w:trPr>
          <w:trHeight w:val="90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2.对话：人工智能时代应用技术人才培养</w:t>
            </w:r>
          </w:p>
        </w:tc>
      </w:tr>
      <w:tr w:rsidR="004B444E" w:rsidTr="004B444E">
        <w:trPr>
          <w:trHeight w:val="90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方正小标宋简体" w:eastAsia="方正小标宋简体" w:hAnsi="微软雅黑" w:cs="微软雅黑"/>
                <w:b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3.对话：人工智能时代技术技能人才培养与培训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18:00-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晚宴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 w:val="restart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7日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（周日）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</w:t>
            </w:r>
          </w:p>
        </w:tc>
        <w:tc>
          <w:tcPr>
            <w:tcW w:w="1702" w:type="dxa"/>
            <w:vMerge w:val="restart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9：00-12：00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b/>
                <w:szCs w:val="21"/>
              </w:rPr>
              <w:t>“一带一路”国际化青年人才培养高峰对话会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1.对话：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“一带一路”技术技能人才培养合作与交流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2.成立“人工智能教育国际联盟”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3.有关项目发布及签约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4.发布“高峰对话”共识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5.会议小结</w:t>
            </w:r>
          </w:p>
        </w:tc>
      </w:tr>
      <w:tr w:rsidR="004B444E" w:rsidTr="004B444E">
        <w:trPr>
          <w:trHeight w:val="335"/>
        </w:trPr>
        <w:tc>
          <w:tcPr>
            <w:tcW w:w="1304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月27日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（周日）</w:t>
            </w:r>
          </w:p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</w:t>
            </w:r>
          </w:p>
        </w:tc>
        <w:tc>
          <w:tcPr>
            <w:tcW w:w="1702" w:type="dxa"/>
            <w:vAlign w:val="center"/>
          </w:tcPr>
          <w:p w:rsidR="004B444E" w:rsidRDefault="004B444E" w:rsidP="004B444E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14：00</w:t>
            </w:r>
          </w:p>
        </w:tc>
        <w:tc>
          <w:tcPr>
            <w:tcW w:w="6635" w:type="dxa"/>
            <w:vAlign w:val="center"/>
          </w:tcPr>
          <w:p w:rsidR="004B444E" w:rsidRDefault="004B444E" w:rsidP="004B444E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参观亚龙智能智造体验中心</w:t>
            </w:r>
          </w:p>
        </w:tc>
      </w:tr>
    </w:tbl>
    <w:p w:rsidR="008E479A" w:rsidRDefault="008E479A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8E479A" w:rsidRDefault="008E479A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8E479A" w:rsidRDefault="008E479A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8E479A" w:rsidRDefault="008E479A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8E479A" w:rsidRDefault="008E479A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4B444E" w:rsidRDefault="004B444E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</w:p>
    <w:p w:rsidR="008E479A" w:rsidRDefault="004B444E">
      <w:pPr>
        <w:snapToGrid w:val="0"/>
        <w:spacing w:line="360" w:lineRule="auto"/>
        <w:rPr>
          <w:rFonts w:ascii="方正小标宋简体" w:eastAsia="方正小标宋简体" w:hAnsi="微软雅黑" w:cs="微软雅黑"/>
          <w:sz w:val="28"/>
          <w:szCs w:val="28"/>
        </w:rPr>
      </w:pPr>
      <w:r>
        <w:rPr>
          <w:rFonts w:ascii="方正小标宋简体" w:eastAsia="方正小标宋简体" w:hAnsi="微软雅黑" w:cs="微软雅黑" w:hint="eastAsia"/>
          <w:sz w:val="28"/>
          <w:szCs w:val="28"/>
        </w:rPr>
        <w:lastRenderedPageBreak/>
        <w:t>附件2</w:t>
      </w:r>
    </w:p>
    <w:p w:rsidR="008E479A" w:rsidRDefault="004B444E">
      <w:pPr>
        <w:snapToGrid w:val="0"/>
        <w:spacing w:line="360" w:lineRule="auto"/>
        <w:jc w:val="center"/>
        <w:rPr>
          <w:rFonts w:ascii="方正小标宋简体" w:eastAsia="方正小标宋简体" w:hAnsi="微软雅黑" w:cs="微软雅黑"/>
          <w:b/>
          <w:sz w:val="28"/>
          <w:szCs w:val="28"/>
        </w:rPr>
      </w:pPr>
      <w:r>
        <w:rPr>
          <w:rFonts w:ascii="方正小标宋简体" w:eastAsia="方正小标宋简体" w:hAnsi="微软雅黑" w:cs="微软雅黑" w:hint="eastAsia"/>
          <w:b/>
          <w:sz w:val="28"/>
          <w:szCs w:val="28"/>
        </w:rPr>
        <w:t>“一带一路”国际化青年人才培养高峰对话会议回执</w:t>
      </w:r>
    </w:p>
    <w:p w:rsidR="008E479A" w:rsidRDefault="004B444E">
      <w:pPr>
        <w:snapToGrid w:val="0"/>
        <w:spacing w:line="360" w:lineRule="auto"/>
        <w:jc w:val="center"/>
        <w:rPr>
          <w:rFonts w:ascii="方正小标宋简体" w:eastAsia="方正小标宋简体" w:hAnsi="微软雅黑" w:cs="微软雅黑"/>
          <w:b/>
          <w:szCs w:val="21"/>
        </w:rPr>
      </w:pPr>
      <w:r>
        <w:rPr>
          <w:rFonts w:ascii="方正小标宋简体" w:eastAsia="方正小标宋简体" w:hAnsi="微软雅黑" w:cs="微软雅黑" w:hint="eastAsia"/>
          <w:b/>
          <w:szCs w:val="21"/>
        </w:rPr>
        <w:t>（此会议回执件请于9月30日之前发至会务组邮箱：913418407@qq.com）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769"/>
        <w:gridCol w:w="1695"/>
        <w:gridCol w:w="1470"/>
        <w:gridCol w:w="2100"/>
        <w:gridCol w:w="1755"/>
      </w:tblGrid>
      <w:tr w:rsidR="008E479A">
        <w:tc>
          <w:tcPr>
            <w:tcW w:w="2463" w:type="dxa"/>
          </w:tcPr>
          <w:p w:rsidR="008E479A" w:rsidRDefault="004B444E">
            <w:pPr>
              <w:snapToGrid w:val="0"/>
              <w:spacing w:line="520" w:lineRule="exact"/>
              <w:ind w:firstLineChars="200" w:firstLine="480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789" w:type="dxa"/>
            <w:gridSpan w:val="5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8E479A">
        <w:trPr>
          <w:trHeight w:val="495"/>
        </w:trPr>
        <w:tc>
          <w:tcPr>
            <w:tcW w:w="2463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769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95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70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00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身份证号/护照</w:t>
            </w:r>
          </w:p>
        </w:tc>
        <w:tc>
          <w:tcPr>
            <w:tcW w:w="1755" w:type="dxa"/>
          </w:tcPr>
          <w:p w:rsidR="008E479A" w:rsidRDefault="004B444E">
            <w:pPr>
              <w:snapToGrid w:val="0"/>
              <w:spacing w:line="520" w:lineRule="exact"/>
              <w:jc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8E479A">
        <w:tc>
          <w:tcPr>
            <w:tcW w:w="2463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8E479A">
        <w:tc>
          <w:tcPr>
            <w:tcW w:w="2463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8E479A" w:rsidRDefault="008E479A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</w:p>
        </w:tc>
      </w:tr>
      <w:tr w:rsidR="008E479A">
        <w:trPr>
          <w:trHeight w:val="780"/>
        </w:trPr>
        <w:tc>
          <w:tcPr>
            <w:tcW w:w="4927" w:type="dxa"/>
            <w:gridSpan w:val="3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入住时间：10月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325" w:type="dxa"/>
            <w:gridSpan w:val="3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离会时间：10月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8E479A">
        <w:tc>
          <w:tcPr>
            <w:tcW w:w="2463" w:type="dxa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房间要求</w:t>
            </w:r>
          </w:p>
        </w:tc>
        <w:tc>
          <w:tcPr>
            <w:tcW w:w="7789" w:type="dxa"/>
            <w:gridSpan w:val="5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单间：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间   双人标间：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间</w:t>
            </w:r>
          </w:p>
        </w:tc>
      </w:tr>
      <w:tr w:rsidR="008E479A">
        <w:tc>
          <w:tcPr>
            <w:tcW w:w="2463" w:type="dxa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用餐要求</w:t>
            </w:r>
          </w:p>
        </w:tc>
        <w:tc>
          <w:tcPr>
            <w:tcW w:w="7789" w:type="dxa"/>
            <w:gridSpan w:val="5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清真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全素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 xml:space="preserve">   其他</w:t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仿宋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8E479A">
        <w:tc>
          <w:tcPr>
            <w:tcW w:w="10252" w:type="dxa"/>
            <w:gridSpan w:val="6"/>
          </w:tcPr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温馨提示：需接送者，请提前将到往返行程发送会务指定邮箱</w:t>
            </w:r>
            <w:hyperlink r:id="rId6" w:history="1">
              <w:r>
                <w:rPr>
                  <w:rStyle w:val="a8"/>
                  <w:rFonts w:ascii="宋体" w:hAnsi="宋体" w:cs="仿宋" w:hint="eastAsia"/>
                  <w:color w:val="000000"/>
                  <w:sz w:val="24"/>
                  <w:szCs w:val="24"/>
                </w:rPr>
                <w:t>913418407@qq.com</w:t>
              </w:r>
            </w:hyperlink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，</w:t>
            </w:r>
          </w:p>
          <w:p w:rsidR="008E479A" w:rsidRDefault="004B444E">
            <w:pPr>
              <w:snapToGrid w:val="0"/>
              <w:spacing w:line="520" w:lineRule="exact"/>
              <w:jc w:val="left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z w:val="24"/>
                <w:szCs w:val="24"/>
              </w:rPr>
              <w:t>联系人：胡黎娜  18105777065</w:t>
            </w:r>
          </w:p>
        </w:tc>
      </w:tr>
    </w:tbl>
    <w:p w:rsidR="008E479A" w:rsidRDefault="008E479A">
      <w:pPr>
        <w:snapToGrid w:val="0"/>
        <w:spacing w:line="520" w:lineRule="exact"/>
        <w:ind w:left="960" w:firstLineChars="200" w:firstLine="480"/>
        <w:jc w:val="left"/>
        <w:rPr>
          <w:rFonts w:ascii="宋体" w:hAnsi="宋体" w:cs="仿宋"/>
          <w:color w:val="000000"/>
          <w:sz w:val="24"/>
          <w:szCs w:val="24"/>
        </w:rPr>
      </w:pPr>
    </w:p>
    <w:p w:rsidR="008E479A" w:rsidRDefault="008E479A">
      <w:pPr>
        <w:spacing w:line="360" w:lineRule="auto"/>
        <w:ind w:firstLineChars="200" w:firstLine="482"/>
        <w:rPr>
          <w:rFonts w:ascii="宋体" w:hAnsi="宋体" w:cs="仿宋"/>
          <w:b/>
          <w:color w:val="000000"/>
          <w:sz w:val="24"/>
          <w:szCs w:val="24"/>
        </w:rPr>
      </w:pPr>
    </w:p>
    <w:p w:rsidR="008E479A" w:rsidRDefault="004B444E">
      <w:pPr>
        <w:snapToGrid w:val="0"/>
        <w:spacing w:line="360" w:lineRule="auto"/>
        <w:jc w:val="left"/>
        <w:rPr>
          <w:rFonts w:ascii="方正小标宋简体" w:eastAsia="方正小标宋简体" w:hAnsi="微软雅黑" w:cs="微软雅黑"/>
          <w:b/>
          <w:sz w:val="28"/>
          <w:szCs w:val="28"/>
        </w:rPr>
      </w:pPr>
      <w:r>
        <w:rPr>
          <w:rFonts w:ascii="方正小标宋简体" w:eastAsia="方正小标宋简体" w:hAnsi="微软雅黑" w:cs="微软雅黑" w:hint="eastAsia"/>
          <w:sz w:val="28"/>
          <w:szCs w:val="28"/>
        </w:rPr>
        <w:t>附件3：</w:t>
      </w:r>
      <w:r>
        <w:rPr>
          <w:rFonts w:ascii="方正小标宋简体" w:eastAsia="方正小标宋简体" w:hAnsi="微软雅黑" w:cs="微软雅黑" w:hint="eastAsia"/>
          <w:b/>
          <w:sz w:val="28"/>
          <w:szCs w:val="28"/>
        </w:rPr>
        <w:t>会议报到地点及交通路线</w:t>
      </w:r>
    </w:p>
    <w:p w:rsidR="008E479A" w:rsidRDefault="004B444E">
      <w:pPr>
        <w:spacing w:line="360" w:lineRule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/>
          <w:color w:val="000000"/>
          <w:sz w:val="24"/>
          <w:szCs w:val="24"/>
        </w:rPr>
        <w:t>报到地点：</w:t>
      </w:r>
      <w:r>
        <w:rPr>
          <w:rFonts w:ascii="宋体" w:hAnsi="宋体" w:cs="仿宋" w:hint="eastAsia"/>
          <w:color w:val="000000"/>
          <w:sz w:val="24"/>
          <w:szCs w:val="24"/>
        </w:rPr>
        <w:t>温州市铂尔曼大酒店，</w:t>
      </w:r>
      <w:r>
        <w:rPr>
          <w:rFonts w:ascii="宋体" w:hAnsi="宋体" w:cs="宋体" w:hint="eastAsia"/>
          <w:bCs/>
          <w:color w:val="000000"/>
          <w:sz w:val="24"/>
          <w:szCs w:val="24"/>
        </w:rPr>
        <w:t>瓯北阳光大道与新江路交叉口</w:t>
      </w:r>
    </w:p>
    <w:p w:rsidR="008E479A" w:rsidRDefault="004B444E">
      <w:pPr>
        <w:spacing w:line="360" w:lineRule="auto"/>
        <w:ind w:firstLineChars="250" w:firstLine="600"/>
        <w:jc w:val="center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noProof/>
          <w:color w:val="000000"/>
          <w:sz w:val="24"/>
          <w:szCs w:val="24"/>
        </w:rPr>
        <w:drawing>
          <wp:inline distT="0" distB="0" distL="0" distR="0">
            <wp:extent cx="4410075" cy="286702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9A" w:rsidRDefault="008E479A">
      <w:pPr>
        <w:spacing w:line="360" w:lineRule="auto"/>
        <w:rPr>
          <w:rFonts w:ascii="宋体" w:hAnsi="宋体" w:cs="仿宋"/>
          <w:b/>
          <w:bCs/>
          <w:color w:val="000000"/>
          <w:sz w:val="24"/>
          <w:szCs w:val="24"/>
        </w:rPr>
      </w:pPr>
    </w:p>
    <w:p w:rsidR="008E479A" w:rsidRDefault="004B444E">
      <w:pPr>
        <w:spacing w:line="360" w:lineRule="auto"/>
        <w:ind w:firstLineChars="250" w:firstLine="602"/>
        <w:rPr>
          <w:rFonts w:ascii="宋体" w:hAnsi="宋体" w:cs="仿宋"/>
          <w:b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/>
          <w:bCs/>
          <w:color w:val="000000"/>
          <w:sz w:val="24"/>
          <w:szCs w:val="24"/>
        </w:rPr>
        <w:lastRenderedPageBreak/>
        <w:t>会务组在温州龙湾国际机场、温州动车南站、永嘉动车站均有定点接站，如需自行前往，请按以下交通路线到达报到地点。</w:t>
      </w:r>
    </w:p>
    <w:p w:rsidR="008E479A" w:rsidRDefault="004B444E">
      <w:pPr>
        <w:spacing w:line="360" w:lineRule="auto"/>
        <w:ind w:firstLineChars="250" w:firstLine="602"/>
        <w:rPr>
          <w:rFonts w:ascii="宋体" w:hAnsi="宋体" w:cs="仿宋"/>
          <w:b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/>
          <w:bCs/>
          <w:color w:val="000000"/>
          <w:sz w:val="24"/>
          <w:szCs w:val="24"/>
        </w:rPr>
        <w:t>交通路线：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1.温州龙湾机场-温州市铂尔曼大酒店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公交：全程39.4公里，用时1小时47分钟，步行40米至龙湾国际机场客运站，搭乘机场快线南站专线至温州汽车南站下车，步行160米至对面汽车南站，搭乘60路或者50路至瓯北新桥下车，步行550米到达温州铂尔曼大酒店。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●出租车：全程39.4公里，费用约140元，用时1小时。</w:t>
      </w: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2.温州动车南站-温州铂尔曼大酒店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●公交：全程16.7公里，用时1小时20分钟，步行470米至火车南站公交枢纽站，搭乘30路前往至上桥站下车，步行210米至对面上桥站，搭乘70路前往至瓯北新桥站下车，步行550米到达温州铂尔曼大酒店。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●出租车：全程16.7公里，费用约55元，用时40分钟。</w:t>
      </w: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3.永嘉动车站-温州铂尔曼大酒店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●公交：全程9.7公里，用时50分钟，步行630米至永嘉火车站，搭乘202路前往至瓯北新桥站下车，步行550米到达温州铂尔曼大酒店。</w:t>
      </w:r>
    </w:p>
    <w:p w:rsidR="008E479A" w:rsidRDefault="004B444E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  <w:r>
        <w:rPr>
          <w:rFonts w:ascii="宋体" w:hAnsi="宋体" w:cs="仿宋" w:hint="eastAsia"/>
          <w:bCs/>
          <w:color w:val="000000"/>
          <w:sz w:val="24"/>
          <w:szCs w:val="24"/>
        </w:rPr>
        <w:t>●出租车：全程9.7公里，费用约30元，用时20分钟。</w:t>
      </w: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8E479A">
      <w:pPr>
        <w:spacing w:line="360" w:lineRule="auto"/>
        <w:ind w:firstLineChars="250" w:firstLine="600"/>
        <w:rPr>
          <w:rFonts w:ascii="宋体" w:hAnsi="宋体" w:cs="仿宋"/>
          <w:bCs/>
          <w:color w:val="000000"/>
          <w:sz w:val="24"/>
          <w:szCs w:val="24"/>
        </w:rPr>
      </w:pPr>
    </w:p>
    <w:p w:rsidR="008E479A" w:rsidRDefault="008E479A">
      <w:pPr>
        <w:ind w:leftChars="135" w:left="283" w:rightChars="-452" w:right="-949"/>
        <w:rPr>
          <w:rFonts w:hint="eastAsia"/>
        </w:rPr>
      </w:pPr>
    </w:p>
    <w:sectPr w:rsidR="008E479A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站酷庆科黄油体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文泉驿微米黑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Egyptian505 Lt B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4"/>
    <w:rsid w:val="002C29C0"/>
    <w:rsid w:val="004B444E"/>
    <w:rsid w:val="00701004"/>
    <w:rsid w:val="008E479A"/>
    <w:rsid w:val="00A1127A"/>
    <w:rsid w:val="047A1BDA"/>
    <w:rsid w:val="18795DDF"/>
    <w:rsid w:val="1B3138AF"/>
    <w:rsid w:val="25EE4558"/>
    <w:rsid w:val="275306B1"/>
    <w:rsid w:val="283F5672"/>
    <w:rsid w:val="298F5140"/>
    <w:rsid w:val="2DC04E76"/>
    <w:rsid w:val="34330D56"/>
    <w:rsid w:val="3B404BBC"/>
    <w:rsid w:val="408B4CFB"/>
    <w:rsid w:val="47DC1AF5"/>
    <w:rsid w:val="487901D3"/>
    <w:rsid w:val="502C4C99"/>
    <w:rsid w:val="50610A1A"/>
    <w:rsid w:val="51043ACF"/>
    <w:rsid w:val="53E66A2B"/>
    <w:rsid w:val="57E40211"/>
    <w:rsid w:val="5F6700FA"/>
    <w:rsid w:val="6134450B"/>
    <w:rsid w:val="64E30B0C"/>
    <w:rsid w:val="699B057B"/>
    <w:rsid w:val="71566099"/>
    <w:rsid w:val="762446FE"/>
    <w:rsid w:val="7B517209"/>
    <w:rsid w:val="7D8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1341840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shisunbin</cp:lastModifiedBy>
  <cp:revision>2</cp:revision>
  <cp:lastPrinted>2019-09-05T06:03:00Z</cp:lastPrinted>
  <dcterms:created xsi:type="dcterms:W3CDTF">2019-09-06T02:19:00Z</dcterms:created>
  <dcterms:modified xsi:type="dcterms:W3CDTF">2019-09-06T02:19:00Z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